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6DF" w:rsidRPr="009071B1" w:rsidRDefault="00A906DF" w:rsidP="00A906DF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4025"/>
        </w:tabs>
        <w:rPr>
          <w:sz w:val="20"/>
          <w:lang w:val="de-DE"/>
        </w:rPr>
      </w:pPr>
      <w:r w:rsidRPr="009071B1">
        <w:rPr>
          <w:b/>
          <w:sz w:val="20"/>
          <w:lang w:val="de-DE"/>
        </w:rPr>
        <w:t>MIPRO ACT</w:t>
      </w:r>
      <w:r>
        <w:rPr>
          <w:b/>
          <w:sz w:val="20"/>
          <w:lang w:val="de-DE"/>
        </w:rPr>
        <w:t>-5</w:t>
      </w:r>
      <w:r>
        <w:rPr>
          <w:b/>
          <w:sz w:val="20"/>
          <w:lang w:val="de-DE"/>
        </w:rPr>
        <w:t>4</w:t>
      </w:r>
      <w:bookmarkStart w:id="0" w:name="_GoBack"/>
      <w:bookmarkEnd w:id="0"/>
      <w:r>
        <w:rPr>
          <w:b/>
          <w:sz w:val="20"/>
          <w:lang w:val="de-DE"/>
        </w:rPr>
        <w:t>5</w:t>
      </w:r>
      <w:r w:rsidRPr="009071B1">
        <w:rPr>
          <w:b/>
          <w:sz w:val="20"/>
          <w:lang w:val="de-DE"/>
        </w:rPr>
        <w:t xml:space="preserve"> </w:t>
      </w:r>
      <w:r>
        <w:rPr>
          <w:b/>
          <w:sz w:val="20"/>
          <w:lang w:val="de-DE"/>
        </w:rPr>
        <w:t>T</w:t>
      </w:r>
      <w:r>
        <w:rPr>
          <w:b/>
          <w:sz w:val="20"/>
        </w:rPr>
        <w:t xml:space="preserve"> </w:t>
      </w:r>
      <w:r>
        <w:rPr>
          <w:b/>
          <w:sz w:val="20"/>
          <w:lang w:val="de-DE"/>
        </w:rPr>
        <w:t>professioneller UHF-Empfänger</w:t>
      </w:r>
      <w:r w:rsidRPr="009071B1">
        <w:rPr>
          <w:b/>
          <w:sz w:val="20"/>
          <w:lang w:val="de-DE"/>
        </w:rPr>
        <w:t xml:space="preserve"> im </w:t>
      </w:r>
      <w:r>
        <w:rPr>
          <w:b/>
          <w:sz w:val="20"/>
          <w:lang w:val="de-DE"/>
        </w:rPr>
        <w:t>soliden Metallgehäuse</w:t>
      </w:r>
    </w:p>
    <w:p w:rsidR="00A906DF" w:rsidRPr="00C77DFA" w:rsidRDefault="00A906DF" w:rsidP="00A906DF">
      <w:pPr>
        <w:pStyle w:val="BODY"/>
        <w:rPr>
          <w:sz w:val="20"/>
          <w:lang w:val="de-DE"/>
        </w:rPr>
      </w:pPr>
    </w:p>
    <w:p w:rsidR="00A906DF" w:rsidRPr="00DB30B9" w:rsidRDefault="00A906DF" w:rsidP="00A906DF">
      <w:pPr>
        <w:pStyle w:val="BODY"/>
        <w:rPr>
          <w:sz w:val="22"/>
          <w:lang w:val="de-DE"/>
        </w:rPr>
      </w:pPr>
      <w:r>
        <w:rPr>
          <w:sz w:val="20"/>
          <w:lang w:val="de-DE"/>
        </w:rPr>
        <w:t xml:space="preserve">Gefordert wird ein </w:t>
      </w:r>
      <w:r>
        <w:rPr>
          <w:sz w:val="20"/>
          <w:lang w:val="de-DE"/>
        </w:rPr>
        <w:t>Vierfach</w:t>
      </w:r>
      <w:r>
        <w:rPr>
          <w:sz w:val="20"/>
          <w:lang w:val="de-DE"/>
        </w:rPr>
        <w:t xml:space="preserve"> UHF-Empfänger im soliden Metallgehäuse 19“</w:t>
      </w:r>
    </w:p>
    <w:p w:rsidR="00A906DF" w:rsidRDefault="00A906DF" w:rsidP="00A906DF">
      <w:pPr>
        <w:pStyle w:val="BODY"/>
        <w:rPr>
          <w:sz w:val="22"/>
        </w:rPr>
      </w:pPr>
    </w:p>
    <w:p w:rsidR="00A906DF" w:rsidRDefault="00A906DF" w:rsidP="00A906DF">
      <w:pPr>
        <w:pStyle w:val="BODY"/>
        <w:rPr>
          <w:rFonts w:cs="Arial"/>
          <w:color w:val="000000"/>
          <w:sz w:val="21"/>
          <w:szCs w:val="21"/>
          <w:lang w:val="de-DE"/>
        </w:rPr>
      </w:pPr>
      <w:r w:rsidRPr="00070478">
        <w:rPr>
          <w:rFonts w:cs="Arial"/>
          <w:color w:val="000000"/>
          <w:sz w:val="20"/>
          <w:szCs w:val="20"/>
          <w:lang w:val="de-DE"/>
        </w:rPr>
        <w:t xml:space="preserve">Der </w:t>
      </w:r>
      <w:r w:rsidRPr="00070478">
        <w:rPr>
          <w:rFonts w:cs="Arial"/>
          <w:color w:val="000000"/>
          <w:sz w:val="20"/>
          <w:szCs w:val="20"/>
        </w:rPr>
        <w:t xml:space="preserve">EIA-Standard 1/2 19" </w:t>
      </w:r>
      <w:r w:rsidRPr="00070478">
        <w:rPr>
          <w:rFonts w:cs="Arial"/>
          <w:color w:val="000000"/>
          <w:sz w:val="20"/>
          <w:szCs w:val="20"/>
          <w:lang w:val="de-DE"/>
        </w:rPr>
        <w:t xml:space="preserve">Einzelempfänger hat ein </w:t>
      </w:r>
      <w:r w:rsidRPr="00070478">
        <w:rPr>
          <w:rFonts w:cs="Arial"/>
          <w:color w:val="000000"/>
          <w:sz w:val="20"/>
          <w:szCs w:val="20"/>
        </w:rPr>
        <w:t xml:space="preserve">robustes </w:t>
      </w:r>
      <w:r w:rsidRPr="00070478">
        <w:rPr>
          <w:rFonts w:cs="Arial"/>
          <w:color w:val="000000"/>
          <w:sz w:val="20"/>
          <w:szCs w:val="20"/>
          <w:lang w:val="de-DE"/>
        </w:rPr>
        <w:t xml:space="preserve">und </w:t>
      </w:r>
      <w:r w:rsidRPr="00070478">
        <w:rPr>
          <w:rFonts w:cs="Arial"/>
          <w:color w:val="000000"/>
          <w:sz w:val="20"/>
          <w:szCs w:val="20"/>
        </w:rPr>
        <w:t>wärmeableitendes Metallgehäuse mit perfekter Abschirmung gegen störende Interferenzen</w:t>
      </w:r>
      <w:r w:rsidRPr="00070478">
        <w:rPr>
          <w:rFonts w:cs="Arial"/>
          <w:color w:val="000000"/>
          <w:sz w:val="20"/>
          <w:szCs w:val="20"/>
          <w:lang w:val="de-DE"/>
        </w:rPr>
        <w:t xml:space="preserve">. Der integrierte </w:t>
      </w:r>
      <w:r w:rsidRPr="00070478">
        <w:rPr>
          <w:rFonts w:cs="Arial"/>
          <w:color w:val="000000"/>
          <w:sz w:val="20"/>
          <w:szCs w:val="20"/>
        </w:rPr>
        <w:t xml:space="preserve">UHF- PLL-Synthesizer </w:t>
      </w:r>
      <w:r>
        <w:rPr>
          <w:rFonts w:cs="Arial"/>
          <w:color w:val="000000"/>
          <w:sz w:val="20"/>
          <w:szCs w:val="20"/>
          <w:lang w:val="de-DE"/>
        </w:rPr>
        <w:t xml:space="preserve">bietet eine </w:t>
      </w:r>
      <w:r w:rsidRPr="00070478">
        <w:rPr>
          <w:rFonts w:cs="Arial"/>
          <w:color w:val="000000"/>
          <w:sz w:val="20"/>
          <w:szCs w:val="20"/>
          <w:lang w:val="de-DE"/>
        </w:rPr>
        <w:t xml:space="preserve"> </w:t>
      </w:r>
      <w:r w:rsidRPr="00070478">
        <w:rPr>
          <w:rFonts w:cs="Arial"/>
          <w:color w:val="000000"/>
          <w:sz w:val="20"/>
          <w:szCs w:val="20"/>
        </w:rPr>
        <w:t>hohe Stabilität und geringe Nebenaussendungen.</w:t>
      </w:r>
      <w:r w:rsidRPr="00070478">
        <w:rPr>
          <w:rFonts w:cs="Arial"/>
          <w:color w:val="000000"/>
          <w:sz w:val="20"/>
          <w:szCs w:val="20"/>
          <w:lang w:val="de-DE"/>
        </w:rPr>
        <w:t xml:space="preserve"> </w:t>
      </w:r>
      <w:r w:rsidRPr="00070478">
        <w:rPr>
          <w:rFonts w:cs="Arial"/>
          <w:color w:val="000000"/>
          <w:sz w:val="20"/>
          <w:szCs w:val="20"/>
        </w:rPr>
        <w:t xml:space="preserve">RF-Filterelemente und Schaltkreise </w:t>
      </w:r>
      <w:r w:rsidRPr="00070478">
        <w:rPr>
          <w:rFonts w:cs="Arial"/>
          <w:color w:val="000000"/>
          <w:sz w:val="20"/>
          <w:szCs w:val="20"/>
          <w:lang w:val="de-DE"/>
        </w:rPr>
        <w:t xml:space="preserve">sorgen </w:t>
      </w:r>
      <w:r w:rsidRPr="00070478">
        <w:rPr>
          <w:rFonts w:cs="Arial"/>
          <w:color w:val="000000"/>
          <w:sz w:val="20"/>
          <w:szCs w:val="20"/>
        </w:rPr>
        <w:t>für geringere Empfindlichkeit gegenüber Störsignalen und mehr interferenzfreie Kanäle.</w:t>
      </w:r>
      <w:r w:rsidRPr="00070478">
        <w:rPr>
          <w:rFonts w:cs="Arial"/>
          <w:color w:val="000000"/>
          <w:sz w:val="20"/>
          <w:szCs w:val="20"/>
          <w:lang w:val="de-DE"/>
        </w:rPr>
        <w:t xml:space="preserve"> </w:t>
      </w:r>
      <w:r w:rsidRPr="00070478">
        <w:rPr>
          <w:rFonts w:cs="Arial"/>
          <w:color w:val="000000"/>
          <w:sz w:val="20"/>
          <w:szCs w:val="20"/>
        </w:rPr>
        <w:t>104 Preset-Kanäle</w:t>
      </w:r>
      <w:r w:rsidRPr="00070478">
        <w:rPr>
          <w:rFonts w:cs="Arial"/>
          <w:color w:val="000000"/>
          <w:sz w:val="20"/>
          <w:szCs w:val="20"/>
          <w:lang w:val="de-DE"/>
        </w:rPr>
        <w:t>n</w:t>
      </w:r>
      <w:r w:rsidRPr="00070478">
        <w:rPr>
          <w:rFonts w:cs="Arial"/>
          <w:color w:val="000000"/>
          <w:sz w:val="20"/>
          <w:szCs w:val="20"/>
        </w:rPr>
        <w:t xml:space="preserve"> in 10 Gruppen zusammen mit der Auto-Scan Funktion ermöglichen die schnelle Suche nach störungsfreien Kanälen</w:t>
      </w:r>
      <w:r w:rsidRPr="00070478">
        <w:rPr>
          <w:rFonts w:cs="Arial"/>
          <w:color w:val="000000"/>
          <w:sz w:val="20"/>
          <w:szCs w:val="20"/>
          <w:lang w:val="de-DE"/>
        </w:rPr>
        <w:t>.</w:t>
      </w:r>
      <w:r w:rsidRPr="00070478">
        <w:rPr>
          <w:rFonts w:cs="Arial"/>
          <w:color w:val="000000"/>
          <w:sz w:val="20"/>
          <w:szCs w:val="20"/>
        </w:rPr>
        <w:t xml:space="preserve"> Das weltweit erste ACT ™ (</w:t>
      </w:r>
      <w:proofErr w:type="spellStart"/>
      <w:r w:rsidRPr="00070478">
        <w:rPr>
          <w:rFonts w:cs="Arial"/>
          <w:color w:val="000000"/>
          <w:sz w:val="20"/>
          <w:szCs w:val="20"/>
        </w:rPr>
        <w:t>Automatic</w:t>
      </w:r>
      <w:proofErr w:type="spellEnd"/>
      <w:r w:rsidRPr="00070478">
        <w:rPr>
          <w:rFonts w:cs="Arial"/>
          <w:color w:val="000000"/>
          <w:sz w:val="20"/>
          <w:szCs w:val="20"/>
        </w:rPr>
        <w:t xml:space="preserve"> Channel Targeting ) bietet eine präzise und schnelle Frequenzsynchronisation zwischen Empfänger und Sendern</w:t>
      </w:r>
      <w:r w:rsidRPr="00070478">
        <w:rPr>
          <w:rFonts w:cs="Arial"/>
          <w:color w:val="000000"/>
          <w:sz w:val="20"/>
          <w:szCs w:val="20"/>
          <w:lang w:val="de-DE"/>
        </w:rPr>
        <w:t xml:space="preserve">. Das </w:t>
      </w:r>
      <w:r w:rsidRPr="00070478">
        <w:rPr>
          <w:rFonts w:cs="Arial"/>
          <w:color w:val="000000"/>
          <w:sz w:val="20"/>
          <w:szCs w:val="20"/>
        </w:rPr>
        <w:t>True-</w:t>
      </w:r>
      <w:proofErr w:type="spellStart"/>
      <w:r w:rsidRPr="00070478">
        <w:rPr>
          <w:rFonts w:cs="Arial"/>
          <w:color w:val="000000"/>
          <w:sz w:val="20"/>
          <w:szCs w:val="20"/>
        </w:rPr>
        <w:t>Diversity</w:t>
      </w:r>
      <w:proofErr w:type="spellEnd"/>
      <w:r w:rsidRPr="00070478">
        <w:rPr>
          <w:rFonts w:cs="Arial"/>
          <w:color w:val="000000"/>
          <w:sz w:val="20"/>
          <w:szCs w:val="20"/>
        </w:rPr>
        <w:t xml:space="preserve">-Antennensystem </w:t>
      </w:r>
      <w:r w:rsidRPr="00070478">
        <w:rPr>
          <w:rFonts w:cs="Arial"/>
          <w:color w:val="000000"/>
          <w:sz w:val="20"/>
          <w:szCs w:val="20"/>
          <w:lang w:val="de-DE"/>
        </w:rPr>
        <w:t>ermöglicht die</w:t>
      </w:r>
      <w:r w:rsidRPr="00070478">
        <w:rPr>
          <w:rFonts w:cs="Arial"/>
          <w:color w:val="000000"/>
          <w:sz w:val="20"/>
          <w:szCs w:val="20"/>
        </w:rPr>
        <w:t xml:space="preserve"> beste Empfangsqualitä</w:t>
      </w:r>
      <w:r w:rsidRPr="00070478">
        <w:rPr>
          <w:rFonts w:cs="Arial"/>
          <w:color w:val="000000"/>
          <w:sz w:val="20"/>
          <w:szCs w:val="20"/>
          <w:lang w:val="de-DE"/>
        </w:rPr>
        <w:t xml:space="preserve">t. Durch die Kombination der </w:t>
      </w:r>
      <w:proofErr w:type="spellStart"/>
      <w:r w:rsidRPr="00070478">
        <w:rPr>
          <w:rFonts w:cs="Arial"/>
          <w:color w:val="000000"/>
          <w:sz w:val="20"/>
          <w:szCs w:val="20"/>
          <w:lang w:val="de-DE"/>
        </w:rPr>
        <w:t>Squelch</w:t>
      </w:r>
      <w:proofErr w:type="spellEnd"/>
      <w:r w:rsidRPr="00070478">
        <w:rPr>
          <w:rFonts w:cs="Arial"/>
          <w:color w:val="000000"/>
          <w:sz w:val="20"/>
          <w:szCs w:val="20"/>
          <w:lang w:val="de-DE"/>
        </w:rPr>
        <w:t>-Einstellung für Noise Lock und Pilotton</w:t>
      </w:r>
      <w:r>
        <w:rPr>
          <w:rFonts w:cs="Arial"/>
          <w:color w:val="000000"/>
          <w:sz w:val="20"/>
          <w:szCs w:val="20"/>
          <w:lang w:val="de-DE"/>
        </w:rPr>
        <w:t>,</w:t>
      </w:r>
      <w:r w:rsidRPr="00070478">
        <w:rPr>
          <w:rFonts w:cs="Arial"/>
          <w:color w:val="000000"/>
          <w:sz w:val="20"/>
          <w:szCs w:val="20"/>
          <w:lang w:val="de-DE"/>
        </w:rPr>
        <w:t xml:space="preserve"> kann jederzeit der Sender</w:t>
      </w:r>
      <w:r>
        <w:rPr>
          <w:rFonts w:cs="Arial"/>
          <w:color w:val="000000"/>
          <w:sz w:val="20"/>
          <w:szCs w:val="20"/>
          <w:lang w:val="de-DE"/>
        </w:rPr>
        <w:t>,</w:t>
      </w:r>
      <w:r w:rsidRPr="00070478">
        <w:rPr>
          <w:rFonts w:cs="Arial"/>
          <w:color w:val="000000"/>
          <w:sz w:val="20"/>
          <w:szCs w:val="20"/>
          <w:lang w:val="de-DE"/>
        </w:rPr>
        <w:t xml:space="preserve"> ohne störende Geräusche zu verursachen</w:t>
      </w:r>
      <w:r>
        <w:rPr>
          <w:rFonts w:cs="Arial"/>
          <w:color w:val="000000"/>
          <w:sz w:val="20"/>
          <w:szCs w:val="20"/>
          <w:lang w:val="de-DE"/>
        </w:rPr>
        <w:t>,</w:t>
      </w:r>
      <w:r w:rsidRPr="00070478">
        <w:rPr>
          <w:rFonts w:cs="Arial"/>
          <w:color w:val="000000"/>
          <w:sz w:val="20"/>
          <w:szCs w:val="20"/>
          <w:lang w:val="de-DE"/>
        </w:rPr>
        <w:t xml:space="preserve"> ausgeschaltet werden. </w:t>
      </w:r>
      <w:r w:rsidRPr="00070478">
        <w:rPr>
          <w:rFonts w:cs="Arial"/>
          <w:color w:val="000000"/>
          <w:sz w:val="20"/>
          <w:szCs w:val="20"/>
        </w:rPr>
        <w:t>Das einzigartige zweifarbige LCD Display bietet einen breiten Betrachtungswinkel auf die kristallklare Anzeige aller Parameter. Automatisches Dimmen des Display im Stand -</w:t>
      </w:r>
      <w:proofErr w:type="spellStart"/>
      <w:r w:rsidRPr="00070478">
        <w:rPr>
          <w:rFonts w:cs="Arial"/>
          <w:color w:val="000000"/>
          <w:sz w:val="20"/>
          <w:szCs w:val="20"/>
        </w:rPr>
        <w:t>by</w:t>
      </w:r>
      <w:proofErr w:type="spellEnd"/>
      <w:r w:rsidRPr="00070478">
        <w:rPr>
          <w:rFonts w:cs="Arial"/>
          <w:color w:val="000000"/>
          <w:sz w:val="20"/>
          <w:szCs w:val="20"/>
        </w:rPr>
        <w:t>-Modus</w:t>
      </w:r>
      <w:r w:rsidRPr="00070478">
        <w:rPr>
          <w:rFonts w:cs="Arial"/>
          <w:color w:val="000000"/>
          <w:sz w:val="20"/>
          <w:szCs w:val="20"/>
          <w:lang w:val="de-DE"/>
        </w:rPr>
        <w:t>.</w:t>
      </w:r>
      <w:r w:rsidRPr="00070478">
        <w:rPr>
          <w:rFonts w:cs="Arial"/>
          <w:color w:val="000000"/>
          <w:sz w:val="20"/>
          <w:szCs w:val="20"/>
        </w:rPr>
        <w:t xml:space="preserve"> Alle Einstellungen sind bequem über einen einzigen Drehknopf intuitiv und schnell vorzunehmen.</w:t>
      </w:r>
      <w:r w:rsidRPr="00070478">
        <w:rPr>
          <w:rFonts w:cs="Arial"/>
          <w:color w:val="000000"/>
          <w:sz w:val="20"/>
          <w:szCs w:val="20"/>
          <w:lang w:val="de-DE"/>
        </w:rPr>
        <w:t xml:space="preserve"> Die </w:t>
      </w:r>
      <w:r w:rsidRPr="00070478">
        <w:rPr>
          <w:rFonts w:cs="Arial"/>
          <w:color w:val="000000"/>
          <w:sz w:val="20"/>
          <w:szCs w:val="20"/>
        </w:rPr>
        <w:t>Interferenz-Warnanzeige warnt vor möglichen Störsignalen</w:t>
      </w:r>
      <w:r w:rsidRPr="00070478">
        <w:rPr>
          <w:rFonts w:cs="Arial"/>
          <w:color w:val="000000"/>
          <w:sz w:val="20"/>
          <w:szCs w:val="20"/>
          <w:lang w:val="de-DE"/>
        </w:rPr>
        <w:t xml:space="preserve">. Das </w:t>
      </w:r>
      <w:r w:rsidRPr="00070478">
        <w:rPr>
          <w:rFonts w:cs="Arial"/>
          <w:color w:val="000000"/>
          <w:sz w:val="20"/>
          <w:szCs w:val="20"/>
        </w:rPr>
        <w:t>Ausgangssignal kann über 3 Stufen regelbar als Einzel- oder Summensignal abgegriffen werden. Der Ausgangspegel ist mit der Empfindlichkeit der Mikrofonkapsel abgestimmt und sorgt für</w:t>
      </w:r>
      <w:r w:rsidRPr="00070478">
        <w:rPr>
          <w:rFonts w:cs="Arial"/>
          <w:color w:val="000000"/>
          <w:sz w:val="20"/>
          <w:szCs w:val="20"/>
          <w:lang w:val="de-DE"/>
        </w:rPr>
        <w:t xml:space="preserve"> die</w:t>
      </w:r>
      <w:r w:rsidRPr="00070478">
        <w:rPr>
          <w:rFonts w:cs="Arial"/>
          <w:color w:val="000000"/>
          <w:sz w:val="20"/>
          <w:szCs w:val="20"/>
        </w:rPr>
        <w:t xml:space="preserve"> optimale Leistung</w:t>
      </w:r>
      <w:r w:rsidRPr="00070478">
        <w:rPr>
          <w:rFonts w:cs="Arial"/>
          <w:color w:val="000000"/>
          <w:sz w:val="20"/>
          <w:szCs w:val="20"/>
          <w:lang w:val="de-DE"/>
        </w:rPr>
        <w:t xml:space="preserve">. Der Empfänger ist mit </w:t>
      </w:r>
      <w:r w:rsidRPr="00070478">
        <w:rPr>
          <w:rFonts w:cs="Arial"/>
          <w:color w:val="000000"/>
          <w:sz w:val="20"/>
          <w:szCs w:val="20"/>
        </w:rPr>
        <w:t>TNC-Antennenanschlüsse</w:t>
      </w:r>
      <w:r w:rsidRPr="00070478">
        <w:rPr>
          <w:rFonts w:cs="Arial"/>
          <w:color w:val="000000"/>
          <w:sz w:val="20"/>
          <w:szCs w:val="20"/>
          <w:lang w:val="de-DE"/>
        </w:rPr>
        <w:t xml:space="preserve">n ausgestattet, diese liefern </w:t>
      </w:r>
      <w:r w:rsidRPr="00070478">
        <w:rPr>
          <w:rFonts w:cs="Arial"/>
          <w:color w:val="000000"/>
          <w:sz w:val="20"/>
          <w:szCs w:val="20"/>
        </w:rPr>
        <w:t>8V Spannungsversorgung z.B. für optionale Antennensplitter oder Verstärker</w:t>
      </w:r>
      <w:r w:rsidRPr="00070478">
        <w:rPr>
          <w:rFonts w:cs="Arial"/>
          <w:color w:val="000000"/>
          <w:sz w:val="20"/>
          <w:szCs w:val="20"/>
          <w:lang w:val="de-DE"/>
        </w:rPr>
        <w:t xml:space="preserve">. Des Weiteren kann eine PC – Steuersoftware zur Echtzeit- Steuerung und Überwachung an den Empfänger angebunden werden. Das </w:t>
      </w:r>
      <w:r>
        <w:rPr>
          <w:rFonts w:cs="Arial"/>
          <w:color w:val="000000"/>
          <w:sz w:val="20"/>
          <w:szCs w:val="20"/>
          <w:lang w:val="de-DE"/>
        </w:rPr>
        <w:t xml:space="preserve">im </w:t>
      </w:r>
      <w:r w:rsidRPr="00070478">
        <w:rPr>
          <w:rFonts w:cs="Arial"/>
          <w:color w:val="000000"/>
          <w:sz w:val="20"/>
          <w:szCs w:val="20"/>
          <w:lang w:val="de-DE"/>
        </w:rPr>
        <w:t>Lieferumfang befindliche Schaltnetzteil sorgt für eine stabile</w:t>
      </w:r>
      <w:r>
        <w:rPr>
          <w:rFonts w:cs="Arial"/>
          <w:color w:val="000000"/>
          <w:sz w:val="21"/>
          <w:szCs w:val="21"/>
          <w:lang w:val="de-DE"/>
        </w:rPr>
        <w:t xml:space="preserve"> Spannungsversorgung von 100 – 240 V AC.</w:t>
      </w:r>
    </w:p>
    <w:p w:rsidR="00A906DF" w:rsidRDefault="00A906DF" w:rsidP="00A906DF">
      <w:pPr>
        <w:pStyle w:val="BODY"/>
        <w:rPr>
          <w:rFonts w:cs="Arial"/>
          <w:color w:val="000000"/>
          <w:sz w:val="21"/>
          <w:szCs w:val="21"/>
          <w:lang w:val="de-DE"/>
        </w:rPr>
      </w:pPr>
    </w:p>
    <w:p w:rsidR="00A906DF" w:rsidRPr="00070478" w:rsidRDefault="00A906DF" w:rsidP="00A906DF">
      <w:pPr>
        <w:pStyle w:val="BODY"/>
        <w:rPr>
          <w:lang w:val="de-DE"/>
        </w:rPr>
      </w:pPr>
      <w:r>
        <w:rPr>
          <w:rFonts w:cs="Arial"/>
          <w:color w:val="000000"/>
          <w:sz w:val="21"/>
          <w:szCs w:val="21"/>
          <w:lang w:val="de-DE"/>
        </w:rPr>
        <w:t xml:space="preserve"> </w:t>
      </w:r>
    </w:p>
    <w:p w:rsidR="00A906DF" w:rsidRDefault="00A906DF" w:rsidP="00A906DF">
      <w:pPr>
        <w:pStyle w:val="BODY"/>
        <w:rPr>
          <w:sz w:val="20"/>
        </w:rPr>
      </w:pPr>
      <w:r>
        <w:rPr>
          <w:b/>
          <w:sz w:val="20"/>
        </w:rPr>
        <w:t>Technische Daten:</w:t>
      </w:r>
    </w:p>
    <w:p w:rsidR="00A906DF" w:rsidRPr="00C43543" w:rsidRDefault="00A906DF" w:rsidP="00A906DF">
      <w:pPr>
        <w:pStyle w:val="BODY"/>
        <w:rPr>
          <w:sz w:val="20"/>
          <w:lang w:val="de-DE"/>
        </w:rPr>
      </w:pPr>
      <w:r>
        <w:rPr>
          <w:sz w:val="20"/>
        </w:rPr>
        <w:t xml:space="preserve">HF-Frequenzbereich (E):  </w:t>
      </w:r>
      <w:r>
        <w:rPr>
          <w:sz w:val="20"/>
        </w:rPr>
        <w:tab/>
      </w:r>
      <w:r>
        <w:rPr>
          <w:sz w:val="20"/>
          <w:lang w:val="de-DE"/>
        </w:rPr>
        <w:t>518 – 832 MHz</w:t>
      </w:r>
    </w:p>
    <w:p w:rsidR="00A906DF" w:rsidRPr="00551883" w:rsidRDefault="00A906DF" w:rsidP="00A906DF">
      <w:pPr>
        <w:pStyle w:val="BODY"/>
        <w:rPr>
          <w:sz w:val="20"/>
          <w:lang w:val="de-DE"/>
        </w:rPr>
      </w:pPr>
      <w:r>
        <w:rPr>
          <w:sz w:val="20"/>
          <w:lang w:val="de-DE"/>
        </w:rPr>
        <w:t>Schaltbandbreite:</w:t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  <w:t>24 MHz</w:t>
      </w:r>
    </w:p>
    <w:p w:rsidR="00A906DF" w:rsidRPr="00551883" w:rsidRDefault="00A906DF" w:rsidP="00A906DF">
      <w:pPr>
        <w:pStyle w:val="BODY"/>
        <w:rPr>
          <w:sz w:val="20"/>
          <w:lang w:val="de-DE"/>
        </w:rPr>
      </w:pPr>
      <w:r>
        <w:rPr>
          <w:sz w:val="20"/>
          <w:lang w:val="de-DE"/>
        </w:rPr>
        <w:t>Sendeleistung</w:t>
      </w:r>
      <w:r>
        <w:rPr>
          <w:sz w:val="20"/>
        </w:rPr>
        <w:t xml:space="preserve">: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de-DE"/>
        </w:rPr>
        <w:t>10-50 mW</w:t>
      </w:r>
    </w:p>
    <w:p w:rsidR="00A906DF" w:rsidRPr="001D3758" w:rsidRDefault="00A906DF" w:rsidP="00A906DF">
      <w:pPr>
        <w:pStyle w:val="BODY"/>
        <w:rPr>
          <w:sz w:val="20"/>
          <w:lang w:val="de-DE"/>
        </w:rPr>
      </w:pPr>
      <w:r>
        <w:rPr>
          <w:sz w:val="20"/>
          <w:lang w:val="de-DE"/>
        </w:rPr>
        <w:t>Spannungsversorgung:</w:t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  <w:t>externes Netzteil</w:t>
      </w:r>
    </w:p>
    <w:p w:rsidR="00A906DF" w:rsidRPr="001D3758" w:rsidRDefault="00A906DF" w:rsidP="00A906DF">
      <w:pPr>
        <w:pStyle w:val="BODY"/>
        <w:rPr>
          <w:sz w:val="20"/>
          <w:lang w:val="de-DE"/>
        </w:rPr>
      </w:pPr>
      <w:r>
        <w:rPr>
          <w:sz w:val="20"/>
          <w:lang w:val="de-DE"/>
        </w:rPr>
        <w:t>Stromaufnahme</w:t>
      </w:r>
      <w:r>
        <w:rPr>
          <w:sz w:val="20"/>
        </w:rPr>
        <w:t xml:space="preserve">: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de-DE"/>
        </w:rPr>
        <w:t>1</w:t>
      </w:r>
      <w:r>
        <w:rPr>
          <w:sz w:val="20"/>
          <w:lang w:val="de-DE"/>
        </w:rPr>
        <w:t>9</w:t>
      </w:r>
      <w:r>
        <w:rPr>
          <w:sz w:val="20"/>
          <w:lang w:val="de-DE"/>
        </w:rPr>
        <w:t xml:space="preserve"> Volt</w:t>
      </w:r>
    </w:p>
    <w:p w:rsidR="00A906DF" w:rsidRDefault="00A906DF" w:rsidP="00A906DF">
      <w:pPr>
        <w:pStyle w:val="BODY"/>
        <w:rPr>
          <w:sz w:val="20"/>
        </w:rPr>
      </w:pPr>
      <w:r>
        <w:rPr>
          <w:sz w:val="20"/>
        </w:rPr>
        <w:t xml:space="preserve">Abmessung: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de-DE"/>
        </w:rPr>
        <w:t>482x44x260</w:t>
      </w:r>
      <w:r>
        <w:rPr>
          <w:sz w:val="20"/>
        </w:rPr>
        <w:t xml:space="preserve"> mm</w:t>
      </w:r>
    </w:p>
    <w:p w:rsidR="00A906DF" w:rsidRDefault="00A906DF" w:rsidP="00A906DF">
      <w:pPr>
        <w:pStyle w:val="BODY"/>
        <w:rPr>
          <w:sz w:val="20"/>
        </w:rPr>
      </w:pPr>
      <w:r>
        <w:rPr>
          <w:sz w:val="20"/>
        </w:rPr>
        <w:t xml:space="preserve">Gewicht: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de-DE"/>
        </w:rPr>
        <w:t>3</w:t>
      </w:r>
      <w:r>
        <w:rPr>
          <w:sz w:val="20"/>
          <w:lang w:val="de-DE"/>
        </w:rPr>
        <w:t>,4</w:t>
      </w:r>
      <w:r>
        <w:rPr>
          <w:sz w:val="20"/>
        </w:rPr>
        <w:t xml:space="preserve"> </w:t>
      </w:r>
      <w:r>
        <w:rPr>
          <w:sz w:val="20"/>
          <w:lang w:val="de-DE"/>
        </w:rPr>
        <w:t>k</w:t>
      </w:r>
      <w:r>
        <w:rPr>
          <w:sz w:val="20"/>
        </w:rPr>
        <w:t>g</w:t>
      </w:r>
    </w:p>
    <w:p w:rsidR="00A906DF" w:rsidRDefault="00A906DF" w:rsidP="00A906DF">
      <w:pPr>
        <w:pStyle w:val="BODY"/>
        <w:rPr>
          <w:sz w:val="22"/>
        </w:rPr>
      </w:pPr>
      <w:r>
        <w:rPr>
          <w:sz w:val="20"/>
        </w:rPr>
        <w:t xml:space="preserve">Farbe: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schwarz</w:t>
      </w:r>
      <w:r>
        <w:rPr>
          <w:sz w:val="20"/>
        </w:rPr>
        <w:br/>
      </w:r>
    </w:p>
    <w:p w:rsidR="00A906DF" w:rsidRDefault="00A906DF" w:rsidP="00A906DF">
      <w:pPr>
        <w:pStyle w:val="BODY"/>
        <w:rPr>
          <w:sz w:val="22"/>
        </w:rPr>
      </w:pPr>
    </w:p>
    <w:p w:rsidR="00A906DF" w:rsidRDefault="00A906DF" w:rsidP="00A906DF">
      <w:pPr>
        <w:pStyle w:val="BODY"/>
        <w:rPr>
          <w:sz w:val="22"/>
        </w:rPr>
      </w:pPr>
      <w:r>
        <w:rPr>
          <w:b/>
          <w:sz w:val="20"/>
        </w:rPr>
        <w:t>Ausgeschrieben:</w:t>
      </w:r>
    </w:p>
    <w:p w:rsidR="00A906DF" w:rsidRDefault="00A906DF" w:rsidP="00A906DF">
      <w:pPr>
        <w:pStyle w:val="BODY"/>
        <w:rPr>
          <w:sz w:val="22"/>
        </w:rPr>
      </w:pPr>
    </w:p>
    <w:p w:rsidR="00A906DF" w:rsidRPr="00DB30B9" w:rsidRDefault="00A906DF" w:rsidP="00A906DF">
      <w:pPr>
        <w:pStyle w:val="BODY"/>
        <w:rPr>
          <w:sz w:val="20"/>
          <w:lang w:val="de-DE"/>
        </w:rPr>
      </w:pPr>
      <w:r>
        <w:rPr>
          <w:sz w:val="20"/>
        </w:rPr>
        <w:t xml:space="preserve">Fabrikat:  </w:t>
      </w:r>
      <w:r>
        <w:rPr>
          <w:sz w:val="20"/>
        </w:rPr>
        <w:tab/>
      </w:r>
      <w:r w:rsidRPr="00DB30B9">
        <w:rPr>
          <w:sz w:val="20"/>
          <w:lang w:val="de-DE"/>
        </w:rPr>
        <w:t>MIPRO</w:t>
      </w:r>
    </w:p>
    <w:p w:rsidR="00A906DF" w:rsidRPr="00DB30B9" w:rsidRDefault="00A906DF" w:rsidP="00A906DF">
      <w:pPr>
        <w:pStyle w:val="BODY"/>
        <w:rPr>
          <w:sz w:val="20"/>
          <w:lang w:val="de-DE"/>
        </w:rPr>
      </w:pPr>
      <w:r>
        <w:rPr>
          <w:sz w:val="20"/>
        </w:rPr>
        <w:t xml:space="preserve">Typ: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de-DE"/>
        </w:rPr>
        <w:t>ACT-5</w:t>
      </w:r>
      <w:r>
        <w:rPr>
          <w:sz w:val="20"/>
          <w:lang w:val="de-DE"/>
        </w:rPr>
        <w:t>4</w:t>
      </w:r>
      <w:r>
        <w:rPr>
          <w:sz w:val="20"/>
          <w:lang w:val="de-DE"/>
        </w:rPr>
        <w:t xml:space="preserve">5 </w:t>
      </w:r>
    </w:p>
    <w:p w:rsidR="00A906DF" w:rsidRDefault="00A906DF" w:rsidP="00A906DF">
      <w:pPr>
        <w:pStyle w:val="BODY"/>
        <w:rPr>
          <w:sz w:val="22"/>
        </w:rPr>
      </w:pPr>
      <w:r>
        <w:rPr>
          <w:sz w:val="20"/>
        </w:rPr>
        <w:tab/>
      </w:r>
      <w:r>
        <w:rPr>
          <w:sz w:val="20"/>
        </w:rPr>
        <w:tab/>
        <w:t>oder gleichwertiger Art</w:t>
      </w:r>
    </w:p>
    <w:p w:rsidR="00A906DF" w:rsidRDefault="00A906DF" w:rsidP="00A906DF">
      <w:pPr>
        <w:pStyle w:val="BODY"/>
        <w:rPr>
          <w:sz w:val="22"/>
        </w:rPr>
      </w:pPr>
    </w:p>
    <w:p w:rsidR="00A906DF" w:rsidRDefault="00A906DF" w:rsidP="00A906DF">
      <w:pPr>
        <w:pStyle w:val="BODY"/>
        <w:rPr>
          <w:sz w:val="22"/>
        </w:rPr>
      </w:pPr>
    </w:p>
    <w:p w:rsidR="00A906DF" w:rsidRDefault="00A906DF" w:rsidP="00A906DF">
      <w:pPr>
        <w:pStyle w:val="BODY"/>
        <w:rPr>
          <w:sz w:val="22"/>
        </w:rPr>
      </w:pPr>
      <w:r>
        <w:rPr>
          <w:b/>
          <w:sz w:val="20"/>
        </w:rPr>
        <w:t>Angeboten (Vom Bieter einzutragen):</w:t>
      </w:r>
    </w:p>
    <w:p w:rsidR="00A906DF" w:rsidRDefault="00A906DF" w:rsidP="00A906DF">
      <w:pPr>
        <w:pStyle w:val="BODY"/>
        <w:rPr>
          <w:sz w:val="22"/>
        </w:rPr>
      </w:pPr>
    </w:p>
    <w:p w:rsidR="00A906DF" w:rsidRDefault="00A906DF" w:rsidP="00A906DF">
      <w:pPr>
        <w:pStyle w:val="BODY"/>
        <w:rPr>
          <w:sz w:val="22"/>
        </w:rPr>
      </w:pPr>
      <w:r>
        <w:rPr>
          <w:sz w:val="20"/>
        </w:rPr>
        <w:t>Fabrikat:</w:t>
      </w:r>
      <w:r>
        <w:rPr>
          <w:sz w:val="20"/>
        </w:rPr>
        <w:tab/>
        <w:t xml:space="preserve"> '.......................................' </w:t>
      </w:r>
    </w:p>
    <w:p w:rsidR="00A906DF" w:rsidRDefault="00A906DF" w:rsidP="00A906DF">
      <w:pPr>
        <w:pStyle w:val="BODY"/>
        <w:rPr>
          <w:sz w:val="22"/>
        </w:rPr>
      </w:pPr>
    </w:p>
    <w:p w:rsidR="00A906DF" w:rsidRDefault="00A906DF" w:rsidP="00A906DF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sz w:val="20"/>
        </w:rPr>
      </w:pPr>
      <w:r>
        <w:rPr>
          <w:sz w:val="20"/>
        </w:rPr>
        <w:t>Typ:</w:t>
      </w:r>
      <w:r>
        <w:rPr>
          <w:sz w:val="20"/>
        </w:rPr>
        <w:tab/>
        <w:t xml:space="preserve"> '.......................................' </w:t>
      </w:r>
    </w:p>
    <w:p w:rsidR="00A906DF" w:rsidRDefault="00A906DF" w:rsidP="00A906DF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4025"/>
        </w:tabs>
        <w:rPr>
          <w:sz w:val="20"/>
        </w:rPr>
      </w:pPr>
      <w:r>
        <w:rPr>
          <w:sz w:val="20"/>
        </w:rPr>
        <w:t xml:space="preserve"> </w:t>
      </w:r>
    </w:p>
    <w:p w:rsidR="00A906DF" w:rsidRDefault="00A906DF" w:rsidP="00A906DF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4025"/>
        </w:tabs>
        <w:rPr>
          <w:sz w:val="20"/>
        </w:rPr>
      </w:pPr>
      <w:r>
        <w:rPr>
          <w:sz w:val="20"/>
        </w:rPr>
        <w:t xml:space="preserve"> </w:t>
      </w:r>
    </w:p>
    <w:p w:rsidR="00A906DF" w:rsidRDefault="00A906DF" w:rsidP="00A906DF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4025"/>
        </w:tabs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B76E7B" w:rsidRDefault="00B76E7B"/>
    <w:sectPr w:rsidR="00B76E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DF"/>
    <w:rsid w:val="00A906DF"/>
    <w:rsid w:val="00B7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7314"/>
  <w15:chartTrackingRefBased/>
  <w15:docId w15:val="{9FD6E4A7-21F3-4B27-B664-6827B594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qFormat/>
    <w:rsid w:val="00A906DF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sz w:val="24"/>
      <w:szCs w:val="24"/>
      <w:lang w:val="x-none" w:eastAsia="x-none"/>
    </w:rPr>
  </w:style>
  <w:style w:type="paragraph" w:customStyle="1" w:styleId="BODY">
    <w:name w:val="BODY"/>
    <w:basedOn w:val="Normal"/>
    <w:qFormat/>
    <w:rsid w:val="00A906DF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MIPRO Germany GmbH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Auge</dc:creator>
  <cp:keywords/>
  <dc:description/>
  <cp:lastModifiedBy>Heinz Auge</cp:lastModifiedBy>
  <cp:revision>1</cp:revision>
  <dcterms:created xsi:type="dcterms:W3CDTF">2024-06-14T09:24:00Z</dcterms:created>
  <dcterms:modified xsi:type="dcterms:W3CDTF">2024-06-14T09:26:00Z</dcterms:modified>
</cp:coreProperties>
</file>